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31bis</w:t>
      </w:r>
      <w:r>
        <w:rPr>
          <w:rFonts w:hint="eastAsia" w:ascii="Arial" w:hAnsi="Arial" w:eastAsia="宋体" w:cs="Times New Roman"/>
          <w:b/>
          <w:sz w:val="24"/>
          <w:szCs w:val="24"/>
          <w:lang w:val="en-US" w:eastAsia="zh-CN" w:bidi="ar-SA"/>
        </w:rPr>
        <w:t xml:space="preserve">      </w:t>
      </w:r>
      <w:bookmarkStart w:id="6" w:name="_GoBack"/>
      <w:bookmarkEnd w:id="6"/>
      <w:r>
        <w:rPr>
          <w:rFonts w:hint="eastAsia" w:ascii="Arial" w:hAnsi="Arial" w:eastAsia="宋体" w:cs="Times New Roman"/>
          <w:b/>
          <w:sz w:val="24"/>
          <w:szCs w:val="24"/>
          <w:lang w:val="en-US" w:eastAsia="zh-CN" w:bidi="ar-SA"/>
        </w:rPr>
        <w:t xml:space="preserve">                      R2-2506945</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Prague, Czech Republic, Oct.13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9.7.2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IMS voice call over GSO</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eastAsia="Times New Roman" w:cs="Times New Roman"/>
          <w:lang w:val="en-GB" w:eastAsia="ja-JP" w:bidi="ar-SA"/>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RAN#108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new WID of IoT_NTN_Ph4 was approved, and the objects are as follows</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spacing w:after="0"/>
        <w:rPr>
          <w:rFonts w:hint="default" w:ascii="Arial" w:hAnsi="Arial" w:cs="Arial"/>
          <w:bCs/>
        </w:rPr>
      </w:pPr>
      <w:r>
        <w:rPr>
          <w:rFonts w:hint="default" w:ascii="Arial" w:hAnsi="Arial" w:cs="Arial"/>
          <w:bCs/>
        </w:rPr>
        <w:t>The aim of this work item is to specify the enhancement of NB-IoT-NTN to support IMS voice call over GSO with the following objectives:</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cs="Arial"/>
        </w:rPr>
        <w:t>Down-select between CP and UP solutions for voice support over NB-IoT-NTN until RAN#110 [RAN2]</w:t>
      </w:r>
    </w:p>
    <w:p>
      <w:pPr>
        <w:pStyle w:val="34"/>
        <w:widowControl w:val="0"/>
        <w:numPr>
          <w:ilvl w:val="1"/>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eastAsia="等线" w:cs="Arial"/>
          <w:lang w:eastAsia="zh-CN"/>
        </w:rPr>
        <w:t>Coordination with SA is required</w:t>
      </w:r>
    </w:p>
    <w:p>
      <w:pPr>
        <w:pStyle w:val="34"/>
        <w:widowControl w:val="0"/>
        <w:numPr>
          <w:ilvl w:val="1"/>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eastAsia="等线" w:cs="Arial"/>
          <w:lang w:eastAsia="zh-CN"/>
        </w:rPr>
        <w:t xml:space="preserve">The objective can be updated with further details based on the outcome of the above down-selection </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i/>
          <w:iCs/>
          <w:color w:val="000000"/>
          <w:lang w:eastAsia="zh-CN"/>
        </w:rPr>
      </w:pPr>
      <w:r>
        <w:rPr>
          <w:rFonts w:hint="default" w:ascii="Arial" w:hAnsi="Arial" w:cs="Arial"/>
        </w:rPr>
        <w:t>Support of semi-persistent scheduling for NB-IoT-NTN for DL and UL data transmission for voice packets [RAN2, RAN1]</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cs="Arial"/>
        </w:rPr>
        <w:t xml:space="preserve">Support of necessary modifications to RRC connection setup procedure for NB-IoT-NTN [RAN2]  </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cs="Arial"/>
        </w:rPr>
        <w:t>Support of necessary modifications for emergency call for voice over NB-IoT-NTN [RAN2]</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cs="Arial"/>
        </w:rPr>
        <w:t xml:space="preserve">Study and if feasible, specify UE transmit power higher than PC1 (e.g. up to 37dBm) for NB-IoT-NTN [RAN4] </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cs="Arial"/>
        </w:rPr>
        <w:t xml:space="preserve">Note: The enhancements to support </w:t>
      </w:r>
      <w:r>
        <w:rPr>
          <w:rFonts w:hint="default" w:ascii="Arial" w:hAnsi="Arial" w:eastAsia="等线" w:cs="Arial"/>
          <w:lang w:eastAsia="zh-CN"/>
        </w:rPr>
        <w:t>voice over NB-IoT-NTN via GSO in this work item may be also applicable</w:t>
      </w:r>
      <w:r>
        <w:rPr>
          <w:rFonts w:hint="default" w:ascii="Arial" w:hAnsi="Arial" w:cs="Arial"/>
        </w:rPr>
        <w:t xml:space="preserve"> to NGSO cases without additional specification enhancements</w:t>
      </w:r>
    </w:p>
    <w:p>
      <w:pPr>
        <w:pStyle w:val="34"/>
        <w:widowControl w:val="0"/>
        <w:numPr>
          <w:ilvl w:val="0"/>
          <w:numId w:val="7"/>
        </w:numPr>
        <w:overflowPunct/>
        <w:autoSpaceDE/>
        <w:autoSpaceDN/>
        <w:adjustRightInd/>
        <w:spacing w:before="120" w:beforeLines="50" w:after="120" w:afterLines="50"/>
        <w:ind w:hanging="357"/>
        <w:contextualSpacing/>
        <w:jc w:val="both"/>
        <w:textAlignment w:val="auto"/>
        <w:rPr>
          <w:rFonts w:hint="default" w:ascii="Arial" w:hAnsi="Arial" w:cs="Arial"/>
        </w:rPr>
      </w:pPr>
      <w:r>
        <w:rPr>
          <w:rFonts w:hint="default" w:ascii="Arial" w:hAnsi="Arial" w:cs="Arial"/>
        </w:rPr>
        <w:t>Note: Coordination with SA4 is expected</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cs="Arial"/>
          <w:sz w:val="21"/>
          <w:szCs w:val="20"/>
          <w:lang w:val="en-US" w:eastAsia="zh-CN"/>
        </w:rPr>
        <w:t>some of these</w:t>
      </w:r>
      <w:r>
        <w:rPr>
          <w:rFonts w:hint="eastAsia" w:ascii="Arial" w:hAnsi="Arial" w:cs="Arial"/>
          <w:sz w:val="21"/>
          <w:szCs w:val="20"/>
        </w:rPr>
        <w:t xml:space="preserve"> issue</w:t>
      </w:r>
      <w:r>
        <w:rPr>
          <w:rFonts w:hint="eastAsia" w:ascii="Arial" w:hAnsi="Arial"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eastAsia" w:eastAsia="宋体" w:cs="Arial"/>
          <w:lang w:val="en-US" w:eastAsia="zh-CN"/>
        </w:rPr>
      </w:pPr>
      <w:r>
        <w:rPr>
          <w:rFonts w:hint="default" w:ascii="Arial" w:hAnsi="Arial" w:cs="Arial"/>
        </w:rPr>
        <w:t xml:space="preserve">CP and UP solutions </w:t>
      </w:r>
      <w:r>
        <w:rPr>
          <w:rFonts w:hint="eastAsia" w:eastAsia="宋体" w:cs="Arial"/>
          <w:lang w:val="en-US" w:eastAsia="zh-CN"/>
        </w:rPr>
        <w:t xml:space="preserve">selection </w:t>
      </w:r>
      <w:r>
        <w:rPr>
          <w:rFonts w:hint="default" w:ascii="Arial" w:hAnsi="Arial" w:cs="Arial"/>
        </w:rPr>
        <w:t>for voice support</w:t>
      </w:r>
      <w:r>
        <w:rPr>
          <w:rFonts w:hint="eastAsia" w:eastAsia="宋体" w:cs="Arial"/>
          <w:lang w:val="en-US" w:eastAsia="zh-CN"/>
        </w:rPr>
        <w:t xml:space="preserve"> over NB-IoT-NTN</w:t>
      </w:r>
    </w:p>
    <w:p>
      <w:pPr>
        <w:rPr>
          <w:rFonts w:hint="default" w:eastAsia="宋体" w:cs="Arial"/>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sz w:val="21"/>
          <w:lang w:val="en-US" w:eastAsia="zh-CN"/>
        </w:rPr>
        <w:t>In the TR 23.700-19 many solutions are proposed to support IMS voice call over NB-IoT NTN, however many of the solutions are from the procedure</w:t>
      </w:r>
      <w:r>
        <w:rPr>
          <w:rFonts w:hint="default"/>
          <w:sz w:val="21"/>
          <w:lang w:val="en-US" w:eastAsia="zh-CN"/>
        </w:rPr>
        <w:t>’</w:t>
      </w:r>
      <w:r>
        <w:rPr>
          <w:rFonts w:hint="eastAsia"/>
          <w:sz w:val="21"/>
          <w:lang w:val="en-US" w:eastAsia="zh-CN"/>
        </w:rPr>
        <w:t xml:space="preserve">s point of view, they lack of the performance analysis and the impact on RAN. When down-select between CP and UP solutions, the selected solution should meet the performance requirements of IMS voice and reduce the impact on RAN impact. </w:t>
      </w:r>
    </w:p>
    <w:p>
      <w:pPr>
        <w:overflowPunct w:val="0"/>
        <w:autoSpaceDE w:val="0"/>
        <w:autoSpaceDN w:val="0"/>
        <w:adjustRightInd w:val="0"/>
        <w:spacing w:after="180"/>
        <w:ind w:left="0" w:firstLine="0"/>
        <w:textAlignment w:val="baseline"/>
        <w:rPr>
          <w:rFonts w:ascii="Times New Roman" w:hAnsi="Times New Roman" w:eastAsia="Malgun Gothic" w:cs="Times New Roman"/>
          <w:color w:val="000000"/>
          <w:lang w:val="en-GB" w:eastAsia="en-US" w:bidi="ar-SA"/>
        </w:rPr>
      </w:pPr>
      <w:r>
        <w:rPr>
          <w:rFonts w:hint="eastAsia" w:ascii="Times New Roman" w:hAnsi="Times New Roman" w:eastAsia="等线" w:cs="Times New Roman"/>
          <w:b/>
          <w:bCs/>
          <w:color w:val="000000"/>
          <w:lang w:val="en-GB" w:eastAsia="zh-CN" w:bidi="ar-SA"/>
        </w:rPr>
        <w:t>The p</w:t>
      </w:r>
      <w:r>
        <w:rPr>
          <w:rFonts w:ascii="Times New Roman" w:hAnsi="Times New Roman" w:eastAsia="等线" w:cs="Times New Roman"/>
          <w:b/>
          <w:bCs/>
          <w:color w:val="000000"/>
          <w:lang w:val="en-GB" w:eastAsia="zh-CN" w:bidi="ar-SA"/>
        </w:rPr>
        <w:t xml:space="preserve">erformance requirements </w:t>
      </w:r>
      <w:r>
        <w:rPr>
          <w:rFonts w:hint="eastAsia" w:ascii="Times New Roman" w:hAnsi="Times New Roman" w:eastAsia="等线" w:cs="Times New Roman"/>
          <w:b/>
          <w:bCs/>
          <w:color w:val="000000"/>
          <w:lang w:val="en-GB" w:eastAsia="zh-CN" w:bidi="ar-SA"/>
        </w:rPr>
        <w:t xml:space="preserve">of </w:t>
      </w:r>
      <w:r>
        <w:rPr>
          <w:rFonts w:ascii="Times New Roman" w:hAnsi="Times New Roman" w:eastAsia="等线" w:cs="Times New Roman"/>
          <w:b/>
          <w:bCs/>
          <w:color w:val="000000"/>
          <w:lang w:val="en-GB" w:eastAsia="zh-CN" w:bidi="ar-SA"/>
        </w:rPr>
        <w:t>IMS voice using GEO satellite access</w:t>
      </w:r>
      <w:r>
        <w:rPr>
          <w:rFonts w:hint="eastAsia" w:ascii="Times New Roman" w:hAnsi="Times New Roman" w:eastAsia="等线" w:cs="Times New Roman"/>
          <w:b/>
          <w:bCs/>
          <w:color w:val="000000"/>
          <w:lang w:val="en-GB" w:eastAsia="zh-CN" w:bidi="ar-SA"/>
        </w:rPr>
        <w:t xml:space="preserve"> </w:t>
      </w:r>
      <w:r>
        <w:rPr>
          <w:rFonts w:ascii="Times New Roman" w:hAnsi="Times New Roman" w:eastAsia="宋体" w:cs="Times New Roman"/>
          <w:b/>
          <w:color w:val="auto"/>
          <w:sz w:val="21"/>
          <w:szCs w:val="21"/>
          <w:lang w:val="en-US" w:eastAsia="zh-CN" w:bidi="ar-SA"/>
        </w:rPr>
        <w:t>defined in SA1 TS22.261 as follows:</w:t>
      </w:r>
      <w:r>
        <w:rPr>
          <w:rFonts w:hint="eastAsia" w:ascii="Times New Roman" w:hAnsi="Times New Roman" w:eastAsia="等线" w:cs="Times New Roman"/>
          <w:color w:val="000000"/>
          <w:lang w:val="en-GB" w:eastAsia="zh-CN" w:bidi="ar-SA"/>
        </w:rPr>
        <w:t xml:space="preserve"> </w:t>
      </w:r>
    </w:p>
    <w:tbl>
      <w:tblPr>
        <w:tblStyle w:val="22"/>
        <w:tblW w:w="9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1011"/>
        <w:gridCol w:w="1012"/>
        <w:gridCol w:w="1059"/>
        <w:gridCol w:w="1059"/>
        <w:gridCol w:w="733"/>
        <w:gridCol w:w="801"/>
        <w:gridCol w:w="1039"/>
        <w:gridCol w:w="801"/>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6"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Scenario</w:t>
            </w:r>
          </w:p>
        </w:tc>
        <w:tc>
          <w:tcPr>
            <w:tcW w:w="101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Experienced data rate (DL)</w:t>
            </w:r>
          </w:p>
        </w:tc>
        <w:tc>
          <w:tcPr>
            <w:tcW w:w="1012"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Experienced data rate (UL)</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 xml:space="preserve">Area traffic capacity(DL) </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zh-CN"/>
              </w:rPr>
            </w:pPr>
            <w:r>
              <w:rPr>
                <w:rFonts w:hint="eastAsia" w:ascii="Times New Roman" w:hAnsi="Times New Roman" w:eastAsia="宋体" w:cs="Times New Roman"/>
                <w:b/>
                <w:bCs/>
                <w:color w:val="auto"/>
                <w:sz w:val="18"/>
                <w:szCs w:val="18"/>
                <w:lang w:val="en-GB" w:eastAsia="ja-JP"/>
              </w:rPr>
              <w:t xml:space="preserve">Area traffic capacity(UL) </w:t>
            </w:r>
          </w:p>
        </w:tc>
        <w:tc>
          <w:tcPr>
            <w:tcW w:w="733"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 xml:space="preserve">Overall user density </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Activity factor</w:t>
            </w:r>
          </w:p>
        </w:tc>
        <w:tc>
          <w:tcPr>
            <w:tcW w:w="103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UE speed</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UE type</w:t>
            </w:r>
          </w:p>
        </w:tc>
        <w:tc>
          <w:tcPr>
            <w:tcW w:w="80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b/>
                <w:bCs/>
                <w:color w:val="auto"/>
                <w:sz w:val="18"/>
                <w:szCs w:val="18"/>
                <w:lang w:val="en-GB" w:eastAsia="ja-JP"/>
              </w:rPr>
            </w:pPr>
            <w:r>
              <w:rPr>
                <w:rFonts w:hint="eastAsia" w:ascii="Times New Roman" w:hAnsi="Times New Roman" w:eastAsia="宋体" w:cs="Times New Roman"/>
                <w:b/>
                <w:bCs/>
                <w:color w:val="auto"/>
                <w:sz w:val="18"/>
                <w:szCs w:val="18"/>
                <w:lang w:val="en-GB" w:eastAsia="ja-JP"/>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6"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zh-CN"/>
              </w:rPr>
            </w:pPr>
            <w:r>
              <w:rPr>
                <w:rFonts w:hint="eastAsia" w:ascii="Times New Roman" w:hAnsi="Times New Roman" w:eastAsia="宋体" w:cs="Times New Roman"/>
                <w:color w:val="auto"/>
                <w:sz w:val="18"/>
                <w:szCs w:val="18"/>
                <w:lang w:val="en-GB" w:eastAsia="ja-JP"/>
              </w:rPr>
              <w:t>IMS voice call using GEO</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zh-CN"/>
              </w:rPr>
              <w:t>(note 7)</w:t>
            </w:r>
          </w:p>
        </w:tc>
        <w:tc>
          <w:tcPr>
            <w:tcW w:w="101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[1-3] kbit/s</w:t>
            </w:r>
          </w:p>
        </w:tc>
        <w:tc>
          <w:tcPr>
            <w:tcW w:w="1012"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[1-3] kb</w:t>
            </w:r>
            <w:r>
              <w:rPr>
                <w:rFonts w:hint="eastAsia" w:ascii="Times New Roman" w:hAnsi="Times New Roman" w:eastAsia="宋体" w:cs="Times New Roman"/>
                <w:color w:val="EE0000"/>
                <w:sz w:val="18"/>
                <w:szCs w:val="18"/>
                <w:lang w:val="en-GB" w:eastAsia="zh-CN"/>
              </w:rPr>
              <w:t>it</w:t>
            </w:r>
            <w:r>
              <w:rPr>
                <w:rFonts w:hint="eastAsia" w:ascii="Times New Roman" w:hAnsi="Times New Roman" w:eastAsia="宋体" w:cs="Times New Roman"/>
                <w:color w:val="EE0000"/>
                <w:sz w:val="18"/>
                <w:szCs w:val="18"/>
                <w:lang w:val="en-GB" w:eastAsia="ja-JP"/>
              </w:rPr>
              <w:t>/s</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105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733"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N/A</w:t>
            </w:r>
          </w:p>
        </w:tc>
        <w:tc>
          <w:tcPr>
            <w:tcW w:w="1039"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TBD</w:t>
            </w:r>
          </w:p>
        </w:tc>
        <w:tc>
          <w:tcPr>
            <w:tcW w:w="801" w:type="dxa"/>
            <w:tcMar>
              <w:left w:w="57" w:type="dxa"/>
              <w:right w:w="57" w:type="dxa"/>
            </w:tcMar>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Handheld</w:t>
            </w:r>
          </w:p>
        </w:tc>
        <w:tc>
          <w:tcPr>
            <w:tcW w:w="80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EE0000"/>
                <w:sz w:val="18"/>
                <w:szCs w:val="18"/>
                <w:lang w:val="en-GB" w:eastAsia="ja-JP"/>
              </w:rPr>
              <w:t xml:space="preserve">Call set up time (note </w:t>
            </w:r>
            <w:r>
              <w:rPr>
                <w:rFonts w:hint="eastAsia" w:ascii="Times New Roman" w:hAnsi="Times New Roman" w:eastAsia="宋体" w:cs="Times New Roman"/>
                <w:color w:val="EE0000"/>
                <w:sz w:val="18"/>
                <w:szCs w:val="18"/>
                <w:lang w:val="en-GB" w:eastAsia="zh-CN"/>
              </w:rPr>
              <w:t>8</w:t>
            </w:r>
            <w:r>
              <w:rPr>
                <w:rFonts w:hint="eastAsia" w:ascii="Times New Roman" w:hAnsi="Times New Roman" w:eastAsia="宋体" w:cs="Times New Roman"/>
                <w:color w:val="EE0000"/>
                <w:sz w:val="18"/>
                <w:szCs w:val="18"/>
                <w:lang w:val="en-GB" w:eastAsia="ja-JP"/>
              </w:rPr>
              <w:t>) ≤30 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EE0000"/>
                <w:sz w:val="18"/>
                <w:szCs w:val="18"/>
                <w:lang w:val="en-GB" w:eastAsia="ja-JP"/>
              </w:rPr>
            </w:pPr>
            <w:r>
              <w:rPr>
                <w:rFonts w:hint="eastAsia" w:ascii="Times New Roman" w:hAnsi="Times New Roman" w:eastAsia="宋体" w:cs="Times New Roman"/>
                <w:color w:val="auto"/>
                <w:sz w:val="18"/>
                <w:szCs w:val="18"/>
                <w:lang w:val="en-GB" w:eastAsia="ja-JP"/>
              </w:rPr>
              <w:t xml:space="preserve">(note </w:t>
            </w:r>
            <w:r>
              <w:rPr>
                <w:rFonts w:hint="eastAsia" w:ascii="Times New Roman" w:hAnsi="Times New Roman" w:eastAsia="宋体" w:cs="Times New Roman"/>
                <w:color w:val="auto"/>
                <w:sz w:val="18"/>
                <w:szCs w:val="18"/>
                <w:lang w:val="en-GB" w:eastAsia="zh-CN"/>
              </w:rPr>
              <w:t>9</w:t>
            </w:r>
            <w:r>
              <w:rPr>
                <w:rFonts w:hint="eastAsia" w:ascii="Times New Roman" w:hAnsi="Times New Roman" w:eastAsia="宋体" w:cs="Times New Roman"/>
                <w:color w:val="auto"/>
                <w:sz w:val="18"/>
                <w:szCs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5" w:type="dxa"/>
            <w:gridSpan w:val="10"/>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 xml:space="preserve">Note 7: All the values defined for IMS voice call using GEO satellite access are generic for both regular and emergency calls.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Note 8: call set up time refers to [56];</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宋体" w:cs="Times New Roman"/>
                <w:color w:val="auto"/>
                <w:sz w:val="18"/>
                <w:szCs w:val="18"/>
                <w:lang w:val="en-GB" w:eastAsia="ja-JP"/>
              </w:rPr>
            </w:pPr>
            <w:r>
              <w:rPr>
                <w:rFonts w:hint="eastAsia" w:ascii="Times New Roman" w:hAnsi="Times New Roman" w:eastAsia="宋体" w:cs="Times New Roman"/>
                <w:color w:val="auto"/>
                <w:sz w:val="18"/>
                <w:szCs w:val="18"/>
                <w:lang w:val="en-GB" w:eastAsia="ja-JP"/>
              </w:rPr>
              <w:t>Note 9: 30s is the upper bound that is derived based on the user’s patience suggestions (30s) in [57];</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1"/>
          <w:lang w:val="en-US" w:eastAsia="zh-CN"/>
        </w:rPr>
      </w:pPr>
      <w:r>
        <w:rPr>
          <w:rFonts w:hint="eastAsia"/>
          <w:sz w:val="21"/>
          <w:lang w:val="en-US" w:eastAsia="zh-CN"/>
        </w:rPr>
        <w:t>In legacy, IMS voice is using user plane, i.e., one DRB for IMS signaling and one DRB for voice packet, both the DRBs use GBR bear. For NB-IoT CP solution only SRB1bis is used for NAS message transmission and DRB is not used. If CP solution is used for IMS voice, we may need to decide whether to introduce new SRB for IMS voice, the legacy NAS message data、IMS signaling data and the voice data maybe need to distinguish, the QoS for different data maybe need to be discussed, while for UP solution the existing mechanism maybe can largely reused, so we suggest the UP solution is used for voice support over NB-IoT-NTN.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lang w:val="en-US" w:eastAsia="zh-CN"/>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 xml:space="preserve"> </w:t>
      </w:r>
      <w:r>
        <w:rPr>
          <w:rFonts w:hint="eastAsia" w:ascii="Arial" w:hAnsi="Arial" w:cs="Arial" w:eastAsiaTheme="minorEastAsia"/>
          <w:b/>
          <w:bCs w:val="0"/>
          <w:i w:val="0"/>
          <w:iCs w:val="0"/>
          <w:sz w:val="20"/>
          <w:szCs w:val="20"/>
          <w:lang w:val="en-US" w:eastAsia="zh-CN" w:bidi="ar-SA"/>
        </w:rPr>
        <w:tab/>
      </w:r>
      <w:r>
        <w:rPr>
          <w:rFonts w:hint="eastAsia" w:ascii="Arial" w:hAnsi="Arial" w:cs="Arial" w:eastAsiaTheme="minorEastAsia"/>
          <w:b/>
          <w:bCs w:val="0"/>
          <w:i w:val="0"/>
          <w:iCs w:val="0"/>
          <w:sz w:val="20"/>
          <w:szCs w:val="20"/>
          <w:lang w:val="en-US" w:eastAsia="zh-CN" w:bidi="ar-SA"/>
        </w:rPr>
        <w:t xml:space="preserve">UP solution is recommended for voice over </w:t>
      </w:r>
      <w:r>
        <w:rPr>
          <w:rFonts w:hint="eastAsia" w:ascii="Arial" w:hAnsi="Arial" w:cs="Arial"/>
          <w:b/>
          <w:bCs w:val="0"/>
          <w:i w:val="0"/>
          <w:iCs w:val="0"/>
          <w:sz w:val="20"/>
          <w:szCs w:val="20"/>
          <w:lang w:val="en-US" w:eastAsia="zh-CN" w:bidi="ar-SA"/>
        </w:rPr>
        <w:t>NB-IoT-NTN</w:t>
      </w:r>
      <w:r>
        <w:rPr>
          <w:rFonts w:hint="eastAsia" w:ascii="Arial" w:hAnsi="Arial" w:cs="Arial" w:eastAsiaTheme="minorEastAsia"/>
          <w:b/>
          <w:bCs w:val="0"/>
          <w:i w:val="0"/>
          <w:iCs w:val="0"/>
          <w:sz w:val="20"/>
          <w:szCs w:val="20"/>
          <w:lang w:val="en-US" w:eastAsia="zh-CN" w:bidi="ar-SA"/>
        </w:rPr>
        <w:t>.</w:t>
      </w:r>
    </w:p>
    <w:p>
      <w:pPr>
        <w:pStyle w:val="3"/>
        <w:bidi w:val="0"/>
        <w:rPr>
          <w:rFonts w:hint="eastAsia"/>
          <w:lang w:val="en-US" w:eastAsia="zh-CN"/>
        </w:rPr>
      </w:pPr>
      <w:r>
        <w:rPr>
          <w:rFonts w:hint="eastAsia"/>
          <w:lang w:val="en-US" w:eastAsia="zh-CN"/>
        </w:rPr>
        <w:t>Call RRC connection setup procedure</w:t>
      </w: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For UEs in IDLE mode, when the UE initiates MO call or receives a MT call, the UE may currently camps on a satellite which maybe not suitable for IMS voice. There are two scenarios which the satellite maybe not suitable for IMS voice, one is the satellite may not support NB-IoT-NTN IMS voice, the other one is the satellite may soon stop providing service for the UE. For the first scenario, if the UE still try to initiate RRC connection setup with the satellite, the network may have to release the UE and redirect the UE to a satellite supporting the IMS voice as the NB-IoT UE don</w:t>
      </w:r>
      <w:r>
        <w:rPr>
          <w:rFonts w:hint="default"/>
          <w:lang w:val="en-US" w:eastAsia="zh-CN"/>
        </w:rPr>
        <w:t>’</w:t>
      </w:r>
      <w:r>
        <w:rPr>
          <w:rFonts w:hint="eastAsia"/>
          <w:lang w:val="en-US" w:eastAsia="zh-CN"/>
        </w:rPr>
        <w:t>t support handover, which will cause long call setup delay. So the UE is suggest to re-select to a satellite supporting IMS voice when the UE intends to initiate a MO call or receiving a MT call. To achieve this, the satellite IMS voice capability information of both current serving satellite and neighbor satellites should be provided to UE, and the UE trigger a cell re-selection if the UE initiates a voice call if the current camped satellite doesn</w:t>
      </w:r>
      <w:r>
        <w:rPr>
          <w:rFonts w:hint="default"/>
          <w:lang w:val="en-US" w:eastAsia="zh-CN"/>
        </w:rPr>
        <w:t>’</w:t>
      </w:r>
      <w:r>
        <w:rPr>
          <w:rFonts w:hint="eastAsia"/>
          <w:lang w:val="en-US" w:eastAsia="zh-CN"/>
        </w:rPr>
        <w:t>t support IMS voice. For the other scenario, if the UE still initiates the voice call on these satellite, it may cause voice interruption and the repeated call setup procedure as the UE don</w:t>
      </w:r>
      <w:r>
        <w:rPr>
          <w:rFonts w:hint="default"/>
          <w:lang w:val="en-US" w:eastAsia="zh-CN"/>
        </w:rPr>
        <w:t>’</w:t>
      </w:r>
      <w:r>
        <w:rPr>
          <w:rFonts w:hint="eastAsia"/>
          <w:lang w:val="en-US" w:eastAsia="zh-CN"/>
        </w:rPr>
        <w:t xml:space="preserve">t support handover. In R18 and R19 the time-based and location-based mobility has been introduced for IoT-NTN to decide to trigger mobility. The similar principle can be used for the UE to decide whether it can use the camped satellite to initiate voice call, thus if the remaining serving time is not enough for the UE to finish a IMS call, the UE re-select to another satellite which can satisfy the time demand of the voice call.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satellite IMS voice capability information of both current serving satellite and neighbor satellites should be provided to UE.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triggers a cell re-selection if the UE intends to initiate a MO call if the current camped satellite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support IMS voice.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If the remaining serving time is not enough for the UE to finish a IMS call, the UE re-select to another satellite which can satisfy the time demand of the voice call to avoid voice interruption.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Times New Roman" w:hAnsi="Times New Roman" w:eastAsia="Times New Roman" w:cs="Times New Roman"/>
          <w:b w:val="0"/>
          <w:bCs w:val="0"/>
          <w:sz w:val="21"/>
          <w:szCs w:val="24"/>
          <w:lang w:val="en-US" w:eastAsia="zh-CN" w:bidi="ar-SA"/>
        </w:rPr>
      </w:pPr>
      <w:r>
        <w:rPr>
          <w:rFonts w:hint="eastAsia" w:ascii="Times New Roman" w:hAnsi="Times New Roman" w:eastAsia="Times New Roman" w:cs="Times New Roman"/>
          <w:b w:val="0"/>
          <w:bCs w:val="0"/>
          <w:sz w:val="21"/>
          <w:szCs w:val="24"/>
          <w:lang w:val="en-US" w:eastAsia="zh-CN" w:bidi="ar-SA"/>
        </w:rPr>
        <w:t>Another issue is the the establishment cause for voice and emergency call is not supported for NB-IoT</w:t>
      </w:r>
      <w:r>
        <w:rPr>
          <w:rFonts w:hint="eastAsia" w:cs="Times New Roman"/>
          <w:b w:val="0"/>
          <w:bCs w:val="0"/>
          <w:sz w:val="21"/>
          <w:szCs w:val="24"/>
          <w:lang w:val="en-US" w:eastAsia="zh-CN" w:bidi="ar-SA"/>
        </w:rPr>
        <w:t xml:space="preserve"> and need to be introduced when support IMS voice over NB-IoT-NTN. </w:t>
      </w:r>
    </w:p>
    <w:tbl>
      <w:tblPr>
        <w:tblStyle w:val="2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4"/>
        <w:gridCol w:w="4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14"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宋体" w:cs="Times New Roman"/>
                <w:sz w:val="20"/>
                <w:szCs w:val="20"/>
                <w:lang w:val="en-GB" w:eastAsia="ja-JP"/>
              </w:rPr>
            </w:pPr>
            <w:r>
              <w:rPr>
                <w:rFonts w:hint="eastAsia" w:ascii="Times New Roman" w:hAnsi="Times New Roman" w:eastAsia="宋体" w:cs="Times New Roman"/>
                <w:sz w:val="20"/>
                <w:szCs w:val="20"/>
                <w:lang w:val="en-GB" w:eastAsia="ja-JP"/>
              </w:rPr>
              <w:t xml:space="preserve">Establishment Cause for NB-IoT </w:t>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Calibri" w:cs="Times New Roman"/>
                <w:sz w:val="16"/>
                <w:szCs w:val="16"/>
                <w:lang w:val="en-US" w:eastAsia="ja-JP"/>
              </w:rPr>
            </w:pPr>
            <w:r>
              <w:rPr>
                <w:rFonts w:hint="eastAsia" w:ascii="Times New Roman" w:hAnsi="Times New Roman" w:eastAsia="宋体" w:cs="Times New Roman"/>
                <w:sz w:val="16"/>
                <w:szCs w:val="16"/>
                <w:lang w:val="en-GB" w:eastAsia="ja-JP"/>
              </w:rPr>
              <w:t>(Not including voice nor emergency)</w:t>
            </w:r>
          </w:p>
        </w:tc>
        <w:tc>
          <w:tcPr>
            <w:tcW w:w="4815"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宋体" w:cs="Times New Roman"/>
                <w:sz w:val="20"/>
                <w:szCs w:val="20"/>
                <w:lang w:val="en-GB" w:eastAsia="ja-JP"/>
              </w:rPr>
            </w:pPr>
            <w:r>
              <w:rPr>
                <w:rFonts w:hint="eastAsia" w:ascii="Times New Roman" w:hAnsi="Times New Roman" w:eastAsia="宋体" w:cs="Times New Roman"/>
                <w:sz w:val="20"/>
                <w:szCs w:val="20"/>
                <w:lang w:val="en-GB" w:eastAsia="ja-JP"/>
              </w:rPr>
              <w:t>Establishment Cause for LTE</w:t>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ascii="Times New Roman" w:hAnsi="Times New Roman" w:eastAsia="Calibri" w:cs="Times New Roman"/>
                <w:sz w:val="16"/>
                <w:szCs w:val="16"/>
                <w:lang w:val="en-US" w:eastAsia="ja-JP"/>
              </w:rPr>
            </w:pPr>
            <w:r>
              <w:rPr>
                <w:rFonts w:hint="eastAsia" w:ascii="Times New Roman" w:hAnsi="Times New Roman" w:eastAsia="宋体" w:cs="Times New Roman"/>
                <w:sz w:val="16"/>
                <w:szCs w:val="16"/>
                <w:lang w:val="en-GB" w:eastAsia="ja-JP"/>
              </w:rPr>
              <w:t>(Including voice and 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14" w:type="dxa"/>
          </w:tcPr>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r>
              <w:rPr>
                <w:rFonts w:hint="eastAsia" w:ascii="Courier New" w:hAnsi="Courier New" w:eastAsia="Batang" w:cs="Times New Roman"/>
                <w:sz w:val="16"/>
                <w:szCs w:val="22"/>
                <w:lang w:val="en-US" w:eastAsia="sv-SE" w:bidi="ar-SA"/>
              </w:rPr>
              <w:t>-- ASN1START</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r>
              <w:rPr>
                <w:rFonts w:hint="eastAsia" w:ascii="Courier New" w:hAnsi="Courier New" w:eastAsia="Batang" w:cs="Times New Roman"/>
                <w:sz w:val="16"/>
                <w:szCs w:val="22"/>
                <w:lang w:val="en-US" w:eastAsia="sv-SE" w:bidi="ar-SA"/>
              </w:rPr>
              <w:t>EstablishmentCause-NB-r13 ::=</w:t>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ENUMERATED {</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en-US" w:eastAsia="sv-SE" w:bidi="ar-SA"/>
              </w:rPr>
            </w:pP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mt-Access, mo-Signalling, mo-Data, mo-ExceptionData,</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sv-SE" w:eastAsia="sv-SE" w:bidi="ar-SA"/>
              </w:rPr>
            </w:pP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en-US" w:eastAsia="sv-SE" w:bidi="ar-SA"/>
              </w:rPr>
              <w:tab/>
            </w:r>
            <w:r>
              <w:rPr>
                <w:rFonts w:hint="eastAsia" w:ascii="Courier New" w:hAnsi="Courier New" w:eastAsia="Batang" w:cs="Times New Roman"/>
                <w:sz w:val="16"/>
                <w:szCs w:val="22"/>
                <w:lang w:val="sv-SE" w:eastAsia="sv-SE" w:bidi="ar-SA"/>
              </w:rPr>
              <w:t>delayTolerantAccess-v1330, mt-EDT-v1610, spare2, spare1}</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Courier New" w:hAnsi="Courier New" w:eastAsia="Batang" w:cs="Times New Roman"/>
                <w:sz w:val="16"/>
                <w:szCs w:val="22"/>
                <w:lang w:val="sv-SE" w:eastAsia="sv-SE" w:bidi="ar-SA"/>
              </w:rPr>
            </w:pP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beforeAutospacing="0" w:after="0" w:afterAutospacing="0"/>
              <w:ind w:left="0" w:right="0"/>
              <w:rPr>
                <w:rFonts w:hint="eastAsia" w:ascii="Times New Roman" w:hAnsi="Times New Roman" w:eastAsia="Calibri" w:cs="Times New Roman"/>
                <w:sz w:val="22"/>
                <w:szCs w:val="22"/>
                <w:lang w:val="en-US" w:eastAsia="ja-JP"/>
              </w:rPr>
            </w:pPr>
            <w:r>
              <w:rPr>
                <w:rFonts w:hint="eastAsia" w:ascii="Courier New" w:hAnsi="Courier New" w:eastAsia="Batang" w:cs="Times New Roman"/>
                <w:sz w:val="16"/>
                <w:szCs w:val="22"/>
                <w:lang w:val="de-DE" w:eastAsia="sv-SE" w:bidi="ar-SA"/>
              </w:rPr>
              <w:t>-- ASN1STOP</w:t>
            </w:r>
          </w:p>
        </w:tc>
        <w:tc>
          <w:tcPr>
            <w:tcW w:w="4815" w:type="dxa"/>
          </w:tcPr>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180" w:afterAutospacing="0"/>
              <w:ind w:left="0" w:right="0"/>
              <w:textAlignment w:val="baseline"/>
              <w:rPr>
                <w:rFonts w:hint="eastAsia" w:ascii="Courier New" w:hAnsi="Courier New" w:eastAsia="Calibri" w:cs="Times New Roman"/>
                <w:sz w:val="16"/>
                <w:szCs w:val="22"/>
                <w:lang w:val="en-US" w:eastAsia="ja-JP"/>
              </w:rPr>
            </w:pPr>
            <w:r>
              <w:rPr>
                <w:rFonts w:hint="eastAsia" w:ascii="Courier New" w:hAnsi="Courier New" w:eastAsia="Calibri" w:cs="Times New Roman"/>
                <w:sz w:val="16"/>
                <w:szCs w:val="22"/>
                <w:lang w:val="en-US" w:eastAsia="ja-JP"/>
              </w:rPr>
              <w:t>EstablishmentCause ::=</w:t>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ENUMERATED {</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180" w:afterAutospacing="0"/>
              <w:ind w:left="0" w:right="0"/>
              <w:textAlignment w:val="baseline"/>
              <w:rPr>
                <w:rFonts w:hint="eastAsia" w:ascii="Courier New" w:hAnsi="Courier New" w:eastAsia="Calibri" w:cs="Times New Roman"/>
                <w:sz w:val="16"/>
                <w:szCs w:val="22"/>
                <w:lang w:val="en-US" w:eastAsia="ja-JP"/>
              </w:rPr>
            </w:pP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highlight w:val="yellow"/>
                <w:lang w:val="en-US" w:eastAsia="ja-JP"/>
              </w:rPr>
              <w:t>emergency</w:t>
            </w:r>
            <w:r>
              <w:rPr>
                <w:rFonts w:hint="eastAsia" w:ascii="Courier New" w:hAnsi="Courier New" w:eastAsia="Calibri" w:cs="Times New Roman"/>
                <w:sz w:val="16"/>
                <w:szCs w:val="22"/>
                <w:lang w:val="en-US" w:eastAsia="ja-JP"/>
              </w:rPr>
              <w:t>, highPriorityAccess, mt-Access, mo-Signalling,</w:t>
            </w:r>
          </w:p>
          <w:p>
            <w:pPr>
              <w:keepNext w:val="0"/>
              <w:keepLines w:val="0"/>
              <w:widowControl/>
              <w:suppressLineNumbers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180" w:afterAutospacing="0"/>
              <w:ind w:left="0" w:right="0"/>
              <w:textAlignment w:val="baseline"/>
              <w:rPr>
                <w:rFonts w:hint="eastAsia" w:ascii="Courier New" w:hAnsi="Courier New" w:eastAsia="Calibri" w:cs="Times New Roman"/>
                <w:sz w:val="16"/>
                <w:szCs w:val="22"/>
                <w:lang w:val="en-US" w:eastAsia="ja-JP"/>
              </w:rPr>
            </w:pP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ab/>
            </w:r>
            <w:r>
              <w:rPr>
                <w:rFonts w:hint="eastAsia" w:ascii="Courier New" w:hAnsi="Courier New" w:eastAsia="Calibri" w:cs="Times New Roman"/>
                <w:sz w:val="16"/>
                <w:szCs w:val="22"/>
                <w:lang w:val="en-US" w:eastAsia="ja-JP"/>
              </w:rPr>
              <w:t xml:space="preserve">mo-Data, delayTolerantAccess-v1020, </w:t>
            </w:r>
            <w:r>
              <w:rPr>
                <w:rFonts w:hint="eastAsia" w:ascii="Courier New" w:hAnsi="Courier New" w:eastAsia="Calibri" w:cs="Times New Roman"/>
                <w:sz w:val="16"/>
                <w:szCs w:val="22"/>
                <w:highlight w:val="yellow"/>
                <w:lang w:val="en-US" w:eastAsia="ja-JP"/>
              </w:rPr>
              <w:t>mo-VoiceCall-v1280</w:t>
            </w:r>
            <w:r>
              <w:rPr>
                <w:rFonts w:hint="eastAsia" w:ascii="Courier New" w:hAnsi="Courier New" w:eastAsia="Calibri" w:cs="Times New Roman"/>
                <w:sz w:val="16"/>
                <w:szCs w:val="22"/>
                <w:lang w:val="en-US" w:eastAsia="ja-JP"/>
              </w:rPr>
              <w:t>, spare1}</w:t>
            </w:r>
          </w:p>
        </w:tc>
      </w:tr>
    </w:tbl>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p>
    <w:p>
      <w:pPr>
        <w:pStyle w:val="97"/>
        <w:numPr>
          <w:ilvl w:val="0"/>
          <w:numId w:val="0"/>
        </w:numPr>
        <w:spacing w:before="120" w:after="120"/>
        <w:jc w:val="both"/>
        <w:rPr>
          <w:rFonts w:hint="eastAsia" w:ascii="Arial" w:hAnsi="Arial" w:cs="Arial" w:eastAsiaTheme="minorEastAsia"/>
          <w:bCs w:val="0"/>
          <w:sz w:val="20"/>
          <w:szCs w:val="2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5</w:t>
      </w:r>
      <w:r>
        <w:rPr>
          <w:rFonts w:hint="eastAsia" w:ascii="Arial" w:hAnsi="Arial" w:cs="Arial" w:eastAsiaTheme="minorEastAsia"/>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eastAsiaTheme="minorEastAsia"/>
          <w:b/>
          <w:bCs w:val="0"/>
          <w:i w:val="0"/>
          <w:iCs w:val="0"/>
          <w:sz w:val="20"/>
          <w:szCs w:val="20"/>
          <w:lang w:val="en-US" w:eastAsia="zh-CN" w:bidi="ar-SA"/>
        </w:rPr>
        <w:t>Introduce establishment cause for Voice call in EstablishmentCause-NB-r13.</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uplink capacity enhancement</w:t>
      </w:r>
      <w:r>
        <w:rPr>
          <w:rFonts w:hint="eastAsia" w:eastAsia="宋体" w:cs="Times New Roman"/>
          <w:color w:val="000000" w:themeColor="text1"/>
          <w:lang w:val="en-US" w:eastAsia="zh-CN"/>
          <w14:textFill>
            <w14:solidFill>
              <w14:schemeClr w14:val="tx1"/>
            </w14:solidFill>
          </w14:textFill>
        </w:rPr>
        <w:t xml:space="preserv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eastAsiaTheme="minorEastAsia"/>
          <w:bCs w:val="0"/>
          <w:sz w:val="20"/>
          <w:szCs w:val="20"/>
          <w:lang w:val="en-US" w:eastAsia="zh-CN"/>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cs="Arial" w:eastAsiaTheme="minorEastAsia"/>
          <w:b/>
          <w:bCs w:val="0"/>
          <w:i w:val="0"/>
          <w:iCs w:val="0"/>
          <w:sz w:val="20"/>
          <w:szCs w:val="20"/>
          <w:lang w:val="en-US" w:eastAsia="zh-CN" w:bidi="ar-SA"/>
        </w:rPr>
        <w:t xml:space="preserve">UP solution is recommended for voice over </w:t>
      </w:r>
      <w:r>
        <w:rPr>
          <w:rFonts w:hint="eastAsia" w:ascii="Arial" w:hAnsi="Arial" w:cs="Arial"/>
          <w:b/>
          <w:bCs w:val="0"/>
          <w:i w:val="0"/>
          <w:iCs w:val="0"/>
          <w:sz w:val="20"/>
          <w:szCs w:val="20"/>
          <w:lang w:val="en-US" w:eastAsia="zh-CN" w:bidi="ar-SA"/>
        </w:rPr>
        <w:t>NB-IoT-NTN</w:t>
      </w:r>
      <w:r>
        <w:rPr>
          <w:rFonts w:hint="eastAsia" w:ascii="Arial" w:hAnsi="Arial" w:cs="Arial" w:eastAsiaTheme="minorEastAsia"/>
          <w:b/>
          <w:bCs w:val="0"/>
          <w:i w:val="0"/>
          <w:iCs w:val="0"/>
          <w:sz w:val="20"/>
          <w:szCs w:val="20"/>
          <w:lang w:val="en-US" w:eastAsia="zh-CN" w:bidi="ar-SA"/>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satellite IMS voice capability information of both current serving satellite and neighbor satellites should be provided to UE.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UE triggers a cell re-selection if the UE intends to initiate a MO call if the current camped satellite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support IMS voice.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lang w:val="en-US" w:eastAsia="zh-CN"/>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If the remaining serving time is not enough for the UE to finish a IMS call, the UE re-select to another satellite which can satisfy the time demand of the voice call to avoid voice interruption.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szCs w:val="20"/>
          <w:lang w:val="en-US" w:eastAsia="zh-CN"/>
        </w:rPr>
      </w:pPr>
      <w:r>
        <w:rPr>
          <w:rFonts w:hint="eastAsia" w:ascii="Arial" w:hAnsi="Arial" w:cs="Arial" w:eastAsiaTheme="minorEastAsia"/>
          <w:b/>
          <w:bCs w:val="0"/>
          <w:szCs w:val="20"/>
          <w:lang w:val="en-US" w:eastAsia="zh-CN"/>
        </w:rPr>
        <w:t>Proposal 5: Introduce establishment cause for Voice call in EstablishmentCause-NB-r13.</w:t>
      </w:r>
    </w:p>
    <w:p>
      <w:pPr>
        <w:pStyle w:val="2"/>
        <w:keepLines/>
        <w:pBdr>
          <w:top w:val="single" w:color="auto" w:sz="12" w:space="3"/>
        </w:pBdr>
        <w:spacing w:before="240" w:after="180"/>
        <w:ind w:left="425" w:hanging="425"/>
        <w:jc w:val="both"/>
      </w:pPr>
      <w:bookmarkStart w:id="1" w:name="OLE_LINK60"/>
      <w:bookmarkStart w:id="2" w:name="OLE_LINK47"/>
      <w:bookmarkStart w:id="3" w:name="OLE_LINK59"/>
      <w:bookmarkStart w:id="4" w:name="OLE_LINK58"/>
      <w:bookmarkStart w:id="5" w:name="OLE_LINK48"/>
      <w:r>
        <w:t>Reference</w:t>
      </w:r>
      <w:bookmarkEnd w:id="1"/>
      <w:bookmarkEnd w:id="2"/>
      <w:bookmarkEnd w:id="3"/>
      <w:bookmarkEnd w:id="4"/>
      <w:bookmarkEnd w:id="5"/>
    </w:p>
    <w:p>
      <w:pPr>
        <w:pStyle w:val="11"/>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RP-252473 Revised WID on Non-Terrestrial Networks (NTN) for Internet of Things (IoT) Phase 4</w:t>
      </w:r>
      <w:r>
        <w:rPr>
          <w:rFonts w:hint="default" w:eastAsia="宋体"/>
          <w:lang w:val="en-US" w:eastAsia="zh-CN"/>
        </w:rPr>
        <w:t>”</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8BE22FD"/>
    <w:multiLevelType w:val="multilevel"/>
    <w:tmpl w:val="38BE22FD"/>
    <w:lvl w:ilvl="0" w:tentative="0">
      <w:start w:val="1"/>
      <w:numFmt w:val="bullet"/>
      <w:lvlText w:val="-"/>
      <w:lvlJc w:val="left"/>
      <w:pPr>
        <w:tabs>
          <w:tab w:val="left" w:pos="720"/>
        </w:tabs>
        <w:ind w:left="720" w:hanging="360"/>
      </w:pPr>
      <w:rPr>
        <w:rFonts w:hint="default" w:ascii="宋体" w:hAnsi="宋体"/>
      </w:rPr>
    </w:lvl>
    <w:lvl w:ilvl="1" w:tentative="0">
      <w:start w:val="1"/>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D651F3"/>
    <w:rsid w:val="026A5194"/>
    <w:rsid w:val="02706DE2"/>
    <w:rsid w:val="02DB6612"/>
    <w:rsid w:val="0304423A"/>
    <w:rsid w:val="030F2DBB"/>
    <w:rsid w:val="031A7915"/>
    <w:rsid w:val="032A2972"/>
    <w:rsid w:val="035F60CC"/>
    <w:rsid w:val="03F47970"/>
    <w:rsid w:val="04044F9A"/>
    <w:rsid w:val="04603C0A"/>
    <w:rsid w:val="050C0141"/>
    <w:rsid w:val="0590487E"/>
    <w:rsid w:val="05C11854"/>
    <w:rsid w:val="05E15600"/>
    <w:rsid w:val="06510970"/>
    <w:rsid w:val="06797CD3"/>
    <w:rsid w:val="06A00757"/>
    <w:rsid w:val="06B350B9"/>
    <w:rsid w:val="06B709CF"/>
    <w:rsid w:val="06DF7E6D"/>
    <w:rsid w:val="06FF294D"/>
    <w:rsid w:val="07331E25"/>
    <w:rsid w:val="07752096"/>
    <w:rsid w:val="07EF5BD4"/>
    <w:rsid w:val="082F6FF7"/>
    <w:rsid w:val="08415DB4"/>
    <w:rsid w:val="08454AB2"/>
    <w:rsid w:val="084C139F"/>
    <w:rsid w:val="08A22A43"/>
    <w:rsid w:val="094D21CC"/>
    <w:rsid w:val="0A043404"/>
    <w:rsid w:val="0A6D15CC"/>
    <w:rsid w:val="0D860A22"/>
    <w:rsid w:val="0DD2564C"/>
    <w:rsid w:val="0DF53660"/>
    <w:rsid w:val="0F417E38"/>
    <w:rsid w:val="0F6840A4"/>
    <w:rsid w:val="0F9D7474"/>
    <w:rsid w:val="0FC2310E"/>
    <w:rsid w:val="103C0B3D"/>
    <w:rsid w:val="105B4363"/>
    <w:rsid w:val="108123D4"/>
    <w:rsid w:val="10AD2D6E"/>
    <w:rsid w:val="10C66D19"/>
    <w:rsid w:val="11D50053"/>
    <w:rsid w:val="12105415"/>
    <w:rsid w:val="126256E5"/>
    <w:rsid w:val="12BE746C"/>
    <w:rsid w:val="132B45C8"/>
    <w:rsid w:val="132C7392"/>
    <w:rsid w:val="13880395"/>
    <w:rsid w:val="145B124E"/>
    <w:rsid w:val="147A52C8"/>
    <w:rsid w:val="14926ED8"/>
    <w:rsid w:val="15215CC8"/>
    <w:rsid w:val="15242CCD"/>
    <w:rsid w:val="15462052"/>
    <w:rsid w:val="15DE1242"/>
    <w:rsid w:val="166C39B7"/>
    <w:rsid w:val="16AA6D34"/>
    <w:rsid w:val="16AE69F8"/>
    <w:rsid w:val="16E91472"/>
    <w:rsid w:val="176647AC"/>
    <w:rsid w:val="179A1B0C"/>
    <w:rsid w:val="198E0015"/>
    <w:rsid w:val="1AA02376"/>
    <w:rsid w:val="1AB17D6E"/>
    <w:rsid w:val="1ABB6560"/>
    <w:rsid w:val="1B445D6E"/>
    <w:rsid w:val="1B59397D"/>
    <w:rsid w:val="1B8E4E83"/>
    <w:rsid w:val="1BA10850"/>
    <w:rsid w:val="1BA75823"/>
    <w:rsid w:val="1C7B4CA3"/>
    <w:rsid w:val="1CA1384F"/>
    <w:rsid w:val="1E0B7CB6"/>
    <w:rsid w:val="1E523033"/>
    <w:rsid w:val="1E6A7BDD"/>
    <w:rsid w:val="1F045CEA"/>
    <w:rsid w:val="1F122966"/>
    <w:rsid w:val="1F2C7D23"/>
    <w:rsid w:val="1FAF7026"/>
    <w:rsid w:val="1FC52E19"/>
    <w:rsid w:val="1FEE2B9E"/>
    <w:rsid w:val="20462FD7"/>
    <w:rsid w:val="20601317"/>
    <w:rsid w:val="21CD368A"/>
    <w:rsid w:val="221016C7"/>
    <w:rsid w:val="228D678C"/>
    <w:rsid w:val="22A27F45"/>
    <w:rsid w:val="22AC3DD3"/>
    <w:rsid w:val="22BD1B6C"/>
    <w:rsid w:val="22D41CE6"/>
    <w:rsid w:val="23967BC1"/>
    <w:rsid w:val="23BF020B"/>
    <w:rsid w:val="24564BEA"/>
    <w:rsid w:val="24805F2B"/>
    <w:rsid w:val="24966A58"/>
    <w:rsid w:val="24E86231"/>
    <w:rsid w:val="26131534"/>
    <w:rsid w:val="26672625"/>
    <w:rsid w:val="26F37D22"/>
    <w:rsid w:val="26F53B52"/>
    <w:rsid w:val="273C2AE6"/>
    <w:rsid w:val="27487239"/>
    <w:rsid w:val="27E9536C"/>
    <w:rsid w:val="27FB282B"/>
    <w:rsid w:val="2809782E"/>
    <w:rsid w:val="282B7F1A"/>
    <w:rsid w:val="282E6418"/>
    <w:rsid w:val="284C12BD"/>
    <w:rsid w:val="28514B4F"/>
    <w:rsid w:val="28E90160"/>
    <w:rsid w:val="299106BB"/>
    <w:rsid w:val="2A696F42"/>
    <w:rsid w:val="2B4C13D3"/>
    <w:rsid w:val="2BC97744"/>
    <w:rsid w:val="2BDF7690"/>
    <w:rsid w:val="2C167DFF"/>
    <w:rsid w:val="2C3F31AA"/>
    <w:rsid w:val="2C5E3FAA"/>
    <w:rsid w:val="2C881EDF"/>
    <w:rsid w:val="2CDD6296"/>
    <w:rsid w:val="2D5331DA"/>
    <w:rsid w:val="2DF85D92"/>
    <w:rsid w:val="2E3E1AA5"/>
    <w:rsid w:val="2E452750"/>
    <w:rsid w:val="2E477C26"/>
    <w:rsid w:val="2E6218E5"/>
    <w:rsid w:val="2EB13602"/>
    <w:rsid w:val="2F652A33"/>
    <w:rsid w:val="2FE018AF"/>
    <w:rsid w:val="305C4D55"/>
    <w:rsid w:val="308138F8"/>
    <w:rsid w:val="30AD73A5"/>
    <w:rsid w:val="322B0AF9"/>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E66AD8"/>
    <w:rsid w:val="35E8621F"/>
    <w:rsid w:val="3638675B"/>
    <w:rsid w:val="36F83A1D"/>
    <w:rsid w:val="37426E6E"/>
    <w:rsid w:val="38486C88"/>
    <w:rsid w:val="387B63E3"/>
    <w:rsid w:val="388B34B6"/>
    <w:rsid w:val="38C9369A"/>
    <w:rsid w:val="392A2A61"/>
    <w:rsid w:val="393B37B4"/>
    <w:rsid w:val="39DB56A4"/>
    <w:rsid w:val="3A0E2941"/>
    <w:rsid w:val="3A3A09C6"/>
    <w:rsid w:val="3A4C112D"/>
    <w:rsid w:val="3AED4363"/>
    <w:rsid w:val="3B656647"/>
    <w:rsid w:val="3B8D13D0"/>
    <w:rsid w:val="3B957525"/>
    <w:rsid w:val="3BE514B4"/>
    <w:rsid w:val="3C7A0817"/>
    <w:rsid w:val="3CBF641E"/>
    <w:rsid w:val="3CD70242"/>
    <w:rsid w:val="3D564BD1"/>
    <w:rsid w:val="3E2248D8"/>
    <w:rsid w:val="3E5E198F"/>
    <w:rsid w:val="3ED50C73"/>
    <w:rsid w:val="3FE0616F"/>
    <w:rsid w:val="4016756E"/>
    <w:rsid w:val="40973E49"/>
    <w:rsid w:val="40E05B05"/>
    <w:rsid w:val="40E10F3E"/>
    <w:rsid w:val="41D14C1D"/>
    <w:rsid w:val="42353253"/>
    <w:rsid w:val="425B5EB0"/>
    <w:rsid w:val="42F46F0D"/>
    <w:rsid w:val="42FD4C37"/>
    <w:rsid w:val="435F628D"/>
    <w:rsid w:val="43AE4F12"/>
    <w:rsid w:val="448F0F64"/>
    <w:rsid w:val="459B5582"/>
    <w:rsid w:val="45B063D8"/>
    <w:rsid w:val="46682B04"/>
    <w:rsid w:val="470C53DE"/>
    <w:rsid w:val="472A0332"/>
    <w:rsid w:val="47686086"/>
    <w:rsid w:val="476C65BD"/>
    <w:rsid w:val="47764245"/>
    <w:rsid w:val="4779366F"/>
    <w:rsid w:val="47C16086"/>
    <w:rsid w:val="47C512EE"/>
    <w:rsid w:val="47EC7853"/>
    <w:rsid w:val="48136031"/>
    <w:rsid w:val="482B0659"/>
    <w:rsid w:val="487E4912"/>
    <w:rsid w:val="48B061A5"/>
    <w:rsid w:val="48F165EB"/>
    <w:rsid w:val="49D966E1"/>
    <w:rsid w:val="49F62F33"/>
    <w:rsid w:val="4A0A51AC"/>
    <w:rsid w:val="4A736A5C"/>
    <w:rsid w:val="4A870271"/>
    <w:rsid w:val="4B5667E1"/>
    <w:rsid w:val="4B911EAD"/>
    <w:rsid w:val="4BBE0820"/>
    <w:rsid w:val="4BC0064E"/>
    <w:rsid w:val="4BD9044D"/>
    <w:rsid w:val="4C8A48AA"/>
    <w:rsid w:val="4CDB457B"/>
    <w:rsid w:val="4CE56021"/>
    <w:rsid w:val="4D2B6B91"/>
    <w:rsid w:val="4D5702DE"/>
    <w:rsid w:val="4D8917CF"/>
    <w:rsid w:val="4DA80BA3"/>
    <w:rsid w:val="4E063BF4"/>
    <w:rsid w:val="4E322A5A"/>
    <w:rsid w:val="4E904FB1"/>
    <w:rsid w:val="4EFC5EF9"/>
    <w:rsid w:val="4F1F0E61"/>
    <w:rsid w:val="4F8A440A"/>
    <w:rsid w:val="4FB27051"/>
    <w:rsid w:val="4FCA1B2C"/>
    <w:rsid w:val="509343CA"/>
    <w:rsid w:val="51951B3D"/>
    <w:rsid w:val="5215436D"/>
    <w:rsid w:val="53DC0DCE"/>
    <w:rsid w:val="5486183B"/>
    <w:rsid w:val="54BF0AED"/>
    <w:rsid w:val="55EB6E4E"/>
    <w:rsid w:val="561B49FC"/>
    <w:rsid w:val="56335CDC"/>
    <w:rsid w:val="56561485"/>
    <w:rsid w:val="5795565A"/>
    <w:rsid w:val="58196C7F"/>
    <w:rsid w:val="59852DB4"/>
    <w:rsid w:val="59A84483"/>
    <w:rsid w:val="5A0B344B"/>
    <w:rsid w:val="5C0031E7"/>
    <w:rsid w:val="5C0111E3"/>
    <w:rsid w:val="5C481980"/>
    <w:rsid w:val="5CEE0CA7"/>
    <w:rsid w:val="5D474464"/>
    <w:rsid w:val="5DB939F7"/>
    <w:rsid w:val="5EE9029B"/>
    <w:rsid w:val="5F7C0711"/>
    <w:rsid w:val="5FEF6ACE"/>
    <w:rsid w:val="60686D13"/>
    <w:rsid w:val="60B34005"/>
    <w:rsid w:val="60E953AA"/>
    <w:rsid w:val="61223B22"/>
    <w:rsid w:val="613F2B4E"/>
    <w:rsid w:val="614420B6"/>
    <w:rsid w:val="61483DCA"/>
    <w:rsid w:val="616A23BB"/>
    <w:rsid w:val="61786A80"/>
    <w:rsid w:val="61BA59D1"/>
    <w:rsid w:val="61DC00C2"/>
    <w:rsid w:val="62590312"/>
    <w:rsid w:val="62815194"/>
    <w:rsid w:val="62BD5600"/>
    <w:rsid w:val="630A7F69"/>
    <w:rsid w:val="633A173E"/>
    <w:rsid w:val="63E1421B"/>
    <w:rsid w:val="64034EA4"/>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B17817"/>
    <w:rsid w:val="69FD25CC"/>
    <w:rsid w:val="6A9D7635"/>
    <w:rsid w:val="6AA04556"/>
    <w:rsid w:val="6ABC46FD"/>
    <w:rsid w:val="6AF42729"/>
    <w:rsid w:val="6B363329"/>
    <w:rsid w:val="6B8D221A"/>
    <w:rsid w:val="6B9735DC"/>
    <w:rsid w:val="6BAD1D2D"/>
    <w:rsid w:val="6BBB6ACB"/>
    <w:rsid w:val="6BF4272A"/>
    <w:rsid w:val="6C060A5C"/>
    <w:rsid w:val="6C750DEF"/>
    <w:rsid w:val="6CE858CE"/>
    <w:rsid w:val="6D16046B"/>
    <w:rsid w:val="6D8E2554"/>
    <w:rsid w:val="6D9A5E61"/>
    <w:rsid w:val="6DFE6C33"/>
    <w:rsid w:val="6E0D1FE7"/>
    <w:rsid w:val="6E154221"/>
    <w:rsid w:val="6E756306"/>
    <w:rsid w:val="6F115FFC"/>
    <w:rsid w:val="6F740CE2"/>
    <w:rsid w:val="70123D3A"/>
    <w:rsid w:val="70436DC4"/>
    <w:rsid w:val="7055318F"/>
    <w:rsid w:val="70871801"/>
    <w:rsid w:val="70BF3FC4"/>
    <w:rsid w:val="71314C8A"/>
    <w:rsid w:val="71B9201A"/>
    <w:rsid w:val="71D51B2C"/>
    <w:rsid w:val="721B250C"/>
    <w:rsid w:val="72402019"/>
    <w:rsid w:val="726111DF"/>
    <w:rsid w:val="727A4FD4"/>
    <w:rsid w:val="72806935"/>
    <w:rsid w:val="73064FF5"/>
    <w:rsid w:val="731D23A2"/>
    <w:rsid w:val="73707DE3"/>
    <w:rsid w:val="74201914"/>
    <w:rsid w:val="742D63FB"/>
    <w:rsid w:val="745C718B"/>
    <w:rsid w:val="7475031D"/>
    <w:rsid w:val="74F97BE7"/>
    <w:rsid w:val="75372E17"/>
    <w:rsid w:val="76700534"/>
    <w:rsid w:val="76A345D7"/>
    <w:rsid w:val="77154E6A"/>
    <w:rsid w:val="77230C1C"/>
    <w:rsid w:val="773D13C1"/>
    <w:rsid w:val="77685D20"/>
    <w:rsid w:val="77760276"/>
    <w:rsid w:val="77CD09ED"/>
    <w:rsid w:val="78091420"/>
    <w:rsid w:val="78732003"/>
    <w:rsid w:val="78911E34"/>
    <w:rsid w:val="78DB6A34"/>
    <w:rsid w:val="7A145066"/>
    <w:rsid w:val="7A4B5FBA"/>
    <w:rsid w:val="7A5E174B"/>
    <w:rsid w:val="7A9C4D88"/>
    <w:rsid w:val="7A9C7192"/>
    <w:rsid w:val="7AAB7979"/>
    <w:rsid w:val="7B826359"/>
    <w:rsid w:val="7BF20CB4"/>
    <w:rsid w:val="7C330D5B"/>
    <w:rsid w:val="7C5E35AE"/>
    <w:rsid w:val="7CB92E75"/>
    <w:rsid w:val="7D134E6F"/>
    <w:rsid w:val="7D197520"/>
    <w:rsid w:val="7D294CE3"/>
    <w:rsid w:val="7D86797B"/>
    <w:rsid w:val="7D8C0969"/>
    <w:rsid w:val="7DF4667A"/>
    <w:rsid w:val="7E436222"/>
    <w:rsid w:val="7EC92764"/>
    <w:rsid w:val="7EED51DC"/>
    <w:rsid w:val="7F3D09D5"/>
    <w:rsid w:val="7F40220C"/>
    <w:rsid w:val="7F6F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36</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2025-09-30T03:06:51Z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